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5" w:rsidRPr="00113F5A" w:rsidRDefault="00113F5A" w:rsidP="00113F5A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r w:rsidR="00482F4D" w:rsidRPr="00113F5A">
        <w:rPr>
          <w:b/>
          <w:sz w:val="28"/>
          <w:szCs w:val="28"/>
          <w:lang w:val="kk-KZ" w:eastAsia="en-US"/>
        </w:rPr>
        <w:t>Тарихнама мен дер</w:t>
      </w:r>
      <w:r w:rsidR="001F08E6">
        <w:rPr>
          <w:b/>
          <w:sz w:val="28"/>
          <w:szCs w:val="28"/>
          <w:lang w:val="kk-KZ" w:eastAsia="en-US"/>
        </w:rPr>
        <w:t>ектанудың теориялық-методология</w:t>
      </w:r>
      <w:r w:rsidR="00482F4D" w:rsidRPr="00113F5A">
        <w:rPr>
          <w:b/>
          <w:sz w:val="28"/>
          <w:szCs w:val="28"/>
          <w:lang w:val="kk-KZ" w:eastAsia="en-US"/>
        </w:rPr>
        <w:t>лық мәселелері</w:t>
      </w:r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482F4D" w:rsidRDefault="00482F4D"/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C35033" w:rsidRDefault="000C2EEC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Тарихнама пәні,оның ерекше</w:t>
      </w:r>
      <w:r w:rsidR="00C35033">
        <w:rPr>
          <w:rFonts w:ascii="Times New Roman" w:hAnsi="Times New Roman"/>
          <w:sz w:val="28"/>
          <w:szCs w:val="28"/>
          <w:lang w:val="kk-KZ" w:eastAsia="ar-SA"/>
        </w:rPr>
        <w:t>ліктері</w:t>
      </w:r>
    </w:p>
    <w:p w:rsidR="00C35033" w:rsidRDefault="00C35033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Деректану пәні, деректанулық талдау мәселелері </w:t>
      </w:r>
    </w:p>
    <w:p w:rsid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482F4D" w:rsidRP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2. Теория және макротеория туралы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C35033" w:rsidRDefault="00C35033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Метатеория ұғымы және оның ерекшеліктері</w:t>
      </w:r>
    </w:p>
    <w:p w:rsidR="00C35033" w:rsidRDefault="00C35033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Макротеория: мәні, нақты мысалдары бойынша талдау</w:t>
      </w:r>
    </w:p>
    <w:p w:rsidR="00482F4D" w:rsidRP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3: Методология және оның бағыттары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 ұғымы: мазмұны мен түрлері</w:t>
      </w: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Методика: мәні мен мазмұны, нақты мысалдары</w:t>
      </w:r>
    </w:p>
    <w:p w:rsidR="00C35033" w:rsidRDefault="00C35033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Методология деп нені айтамыз?</w:t>
      </w:r>
    </w:p>
    <w:p w:rsid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482F4D" w:rsidRP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C35033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Сс 4: Модернизм макро</w:t>
      </w:r>
      <w:r w:rsidR="00482F4D" w:rsidRPr="00AA2975">
        <w:rPr>
          <w:b/>
          <w:color w:val="000000"/>
          <w:sz w:val="28"/>
          <w:szCs w:val="28"/>
          <w:lang w:val="kk-KZ"/>
        </w:rPr>
        <w:t>теориясы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113F5A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0C2EEC" w:rsidRPr="000C2EEC" w:rsidRDefault="00C35033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="00482F4D"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теориясының ерекшеліктерін</w:t>
      </w:r>
      <w:r w:rsidR="000C2EEC">
        <w:rPr>
          <w:rFonts w:ascii="Times New Roman" w:hAnsi="Times New Roman"/>
          <w:color w:val="000000"/>
          <w:sz w:val="28"/>
          <w:szCs w:val="28"/>
          <w:lang w:val="kk-KZ"/>
        </w:rPr>
        <w:t xml:space="preserve"> айқындау.</w:t>
      </w:r>
    </w:p>
    <w:p w:rsidR="00482F4D" w:rsidRPr="000C2EEC" w:rsidRDefault="000C2EEC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Т</w:t>
      </w:r>
      <w:r w:rsidRPr="000C2EEC">
        <w:rPr>
          <w:rFonts w:ascii="Times New Roman" w:hAnsi="Times New Roman"/>
          <w:sz w:val="28"/>
          <w:szCs w:val="28"/>
          <w:lang w:val="kk-KZ"/>
        </w:rPr>
        <w:t>арихнама</w:t>
      </w:r>
      <w:r>
        <w:rPr>
          <w:rFonts w:ascii="Times New Roman" w:hAnsi="Times New Roman"/>
          <w:sz w:val="28"/>
          <w:szCs w:val="28"/>
          <w:lang w:val="kk-KZ"/>
        </w:rPr>
        <w:t>лық зерттеулерде</w:t>
      </w:r>
      <w:r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</w:t>
      </w:r>
      <w:r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2F4D" w:rsidRPr="00113F5A">
        <w:rPr>
          <w:rFonts w:ascii="Times New Roman" w:hAnsi="Times New Roman"/>
          <w:color w:val="000000"/>
          <w:sz w:val="28"/>
          <w:szCs w:val="28"/>
          <w:lang w:val="kk-KZ"/>
        </w:rPr>
        <w:t>қолданылу жолдарын сипаттау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(диссертация тақырыбы бойынша)</w:t>
      </w:r>
    </w:p>
    <w:p w:rsidR="000C2EEC" w:rsidRPr="00113F5A" w:rsidRDefault="000C2EEC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Pr="000C2EEC">
        <w:rPr>
          <w:rFonts w:ascii="Times New Roman" w:hAnsi="Times New Roman"/>
          <w:sz w:val="28"/>
          <w:szCs w:val="28"/>
          <w:lang w:val="kk-KZ"/>
        </w:rPr>
        <w:t>еректану</w:t>
      </w:r>
      <w:r>
        <w:rPr>
          <w:rFonts w:ascii="Times New Roman" w:hAnsi="Times New Roman"/>
          <w:sz w:val="28"/>
          <w:szCs w:val="28"/>
          <w:lang w:val="kk-KZ"/>
        </w:rPr>
        <w:t>лық зерттеулерде</w:t>
      </w:r>
      <w:r w:rsidRPr="000C2EE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модернизм макро</w:t>
      </w: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теориясын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қолданылу жолдары(диссертация тақырыбы бойынша)</w:t>
      </w:r>
    </w:p>
    <w:p w:rsidR="00482F4D" w:rsidRDefault="00482F4D" w:rsidP="00482F4D">
      <w:pPr>
        <w:rPr>
          <w:color w:val="000000"/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5: Постмодернизм туралы түсінік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lastRenderedPageBreak/>
        <w:t xml:space="preserve">1. Постмодернизмнің мәні мен мазмұнын айқындау </w:t>
      </w:r>
    </w:p>
    <w:p w:rsidR="00482F4D" w:rsidRDefault="00482F4D" w:rsidP="00482F4D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0C2EEC" w:rsidRPr="000C2EEC" w:rsidRDefault="000C2EEC" w:rsidP="000C2EEC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 w:rsidRPr="000C2EEC">
        <w:rPr>
          <w:sz w:val="28"/>
          <w:szCs w:val="28"/>
          <w:lang w:val="kk-KZ"/>
        </w:rPr>
        <w:t>3. Т</w:t>
      </w:r>
      <w:r w:rsidRPr="000C2EEC">
        <w:rPr>
          <w:rFonts w:eastAsia="Calibri"/>
          <w:sz w:val="28"/>
          <w:szCs w:val="28"/>
          <w:lang w:val="kk-KZ"/>
        </w:rPr>
        <w:t>арихнама</w:t>
      </w:r>
      <w:r w:rsidRPr="000C2EEC">
        <w:rPr>
          <w:sz w:val="28"/>
          <w:szCs w:val="28"/>
          <w:lang w:val="kk-KZ"/>
        </w:rPr>
        <w:t>лық зерттеулерде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пост</w:t>
      </w:r>
      <w:r w:rsidRPr="000C2EEC">
        <w:rPr>
          <w:color w:val="000000"/>
          <w:sz w:val="28"/>
          <w:szCs w:val="28"/>
          <w:lang w:val="kk-KZ"/>
        </w:rPr>
        <w:t>модернизм макротеориясын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bookmarkStart w:id="0" w:name="_GoBack"/>
      <w:bookmarkEnd w:id="0"/>
      <w:r w:rsidRPr="000C2EEC">
        <w:rPr>
          <w:color w:val="000000"/>
          <w:sz w:val="28"/>
          <w:szCs w:val="28"/>
          <w:lang w:val="kk-KZ"/>
        </w:rPr>
        <w:t xml:space="preserve">қолданылу жолдарын сипаттау </w:t>
      </w:r>
    </w:p>
    <w:p w:rsidR="000C2EEC" w:rsidRPr="000C2EEC" w:rsidRDefault="000C2EEC" w:rsidP="000C2EEC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4.</w:t>
      </w:r>
      <w:r w:rsidRPr="000C2EEC">
        <w:rPr>
          <w:sz w:val="28"/>
          <w:szCs w:val="28"/>
          <w:lang w:val="kk-KZ"/>
        </w:rPr>
        <w:t>Д</w:t>
      </w:r>
      <w:r w:rsidRPr="000C2EEC">
        <w:rPr>
          <w:rFonts w:eastAsia="Calibri"/>
          <w:sz w:val="28"/>
          <w:szCs w:val="28"/>
          <w:lang w:val="kk-KZ"/>
        </w:rPr>
        <w:t>еректану</w:t>
      </w:r>
      <w:r w:rsidRPr="000C2EEC">
        <w:rPr>
          <w:sz w:val="28"/>
          <w:szCs w:val="28"/>
          <w:lang w:val="kk-KZ"/>
        </w:rPr>
        <w:t>лық зерттеулерде</w:t>
      </w:r>
      <w:r w:rsidRPr="000C2EEC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пост</w:t>
      </w:r>
      <w:r w:rsidRPr="000C2EEC">
        <w:rPr>
          <w:color w:val="000000"/>
          <w:sz w:val="28"/>
          <w:szCs w:val="28"/>
          <w:lang w:val="kk-KZ"/>
        </w:rPr>
        <w:t>модернизм макротеориясын қолданылу жолдары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0C2EEC" w:rsidRDefault="000C2EEC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 xml:space="preserve">Сс 6: Структурализм мен постструктурализм </w:t>
      </w:r>
    </w:p>
    <w:p w:rsidR="00AA2975" w:rsidRPr="00AA2975" w:rsidRDefault="00AA2975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113F5A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482F4D" w:rsidRPr="000C2EE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тарихнамалық зерттеулердегі орны туралы мәселелерді айқындау.</w:t>
      </w:r>
    </w:p>
    <w:p w:rsidR="000C2EEC" w:rsidRPr="00113F5A" w:rsidRDefault="000C2EEC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деректанулық зерттеулердегі орны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482F4D" w:rsidRPr="001254DC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 және Антиэволюионизм: </w:t>
      </w:r>
      <w:r w:rsidR="00AA2975">
        <w:rPr>
          <w:rFonts w:ascii="Times New Roman" w:hAnsi="Times New Roman"/>
          <w:sz w:val="28"/>
          <w:szCs w:val="28"/>
          <w:lang w:val="kk-KZ" w:eastAsia="ar-SA"/>
        </w:rPr>
        <w:t>пікірталас</w:t>
      </w:r>
    </w:p>
    <w:p w:rsidR="00482F4D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</w:t>
      </w:r>
      <w:r w:rsidR="000C2EEC">
        <w:rPr>
          <w:rFonts w:ascii="Times New Roman" w:hAnsi="Times New Roman"/>
          <w:sz w:val="28"/>
          <w:szCs w:val="28"/>
          <w:lang w:val="kk-KZ"/>
        </w:rPr>
        <w:t>ц</w:t>
      </w:r>
      <w:r w:rsidRPr="00113F5A">
        <w:rPr>
          <w:rFonts w:ascii="Times New Roman" w:hAnsi="Times New Roman"/>
          <w:sz w:val="28"/>
          <w:szCs w:val="28"/>
          <w:lang w:val="kk-KZ"/>
        </w:rPr>
        <w:t>ионизмнің біржақтылықтарына талдау жасау</w:t>
      </w:r>
    </w:p>
    <w:p w:rsidR="009A1E50" w:rsidRDefault="009A1E50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</w:t>
      </w:r>
      <w:r>
        <w:rPr>
          <w:rFonts w:ascii="Times New Roman" w:hAnsi="Times New Roman"/>
          <w:sz w:val="28"/>
          <w:szCs w:val="28"/>
          <w:lang w:val="kk-KZ"/>
        </w:rPr>
        <w:t>ц</w:t>
      </w:r>
      <w:r w:rsidRPr="00113F5A">
        <w:rPr>
          <w:rFonts w:ascii="Times New Roman" w:hAnsi="Times New Roman"/>
          <w:sz w:val="28"/>
          <w:szCs w:val="28"/>
          <w:lang w:val="kk-KZ"/>
        </w:rPr>
        <w:t>ионизмнің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синтетикалық теориясы: мәні, мазмұны ерекшеліктері</w:t>
      </w:r>
    </w:p>
    <w:p w:rsidR="000C2EEC" w:rsidRDefault="000C2EEC" w:rsidP="000C2EEC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тарихнамалық зерттеулер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орны айқындау</w:t>
      </w:r>
    </w:p>
    <w:p w:rsidR="000C2EEC" w:rsidRDefault="000C2EEC" w:rsidP="000C2EEC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деректанулық зерттеулер</w:t>
      </w:r>
      <w:r>
        <w:rPr>
          <w:rFonts w:ascii="Times New Roman" w:hAnsi="Times New Roman"/>
          <w:sz w:val="28"/>
          <w:szCs w:val="28"/>
          <w:lang w:val="kk-KZ"/>
        </w:rPr>
        <w:t>дегі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орны айқындау</w:t>
      </w:r>
    </w:p>
    <w:p w:rsidR="000C2EEC" w:rsidRPr="00113F5A" w:rsidRDefault="000C2EEC" w:rsidP="009A1E50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8: Диффузионизм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деректанулық зерттеулер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</w:t>
      </w:r>
      <w:r w:rsidR="00C35033">
        <w:rPr>
          <w:rFonts w:ascii="Times New Roman" w:hAnsi="Times New Roman"/>
          <w:sz w:val="28"/>
          <w:szCs w:val="28"/>
          <w:lang w:val="kk-KZ"/>
        </w:rPr>
        <w:t>ь</w:t>
      </w:r>
      <w:r>
        <w:rPr>
          <w:rFonts w:ascii="Times New Roman" w:hAnsi="Times New Roman"/>
          <w:sz w:val="28"/>
          <w:szCs w:val="28"/>
          <w:lang w:val="kk-KZ"/>
        </w:rPr>
        <w:t>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 тарихнамамалық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Диффузионизм және деректану: ғылыми зерттеулерде пайдалану мәселелерін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A2975">
        <w:rPr>
          <w:b/>
          <w:sz w:val="28"/>
          <w:szCs w:val="28"/>
          <w:lang w:val="kk-KZ" w:eastAsia="en-US"/>
        </w:rPr>
        <w:t xml:space="preserve">Сс 9: Позитивизмді </w:t>
      </w:r>
      <w:r w:rsidRPr="00AA2975">
        <w:rPr>
          <w:rFonts w:eastAsia="Calibri"/>
          <w:b/>
          <w:sz w:val="28"/>
          <w:szCs w:val="28"/>
          <w:lang w:val="kk-KZ"/>
        </w:rPr>
        <w:t xml:space="preserve">тарихнама мен деректанулық </w:t>
      </w:r>
      <w:r w:rsidRPr="00AA2975">
        <w:rPr>
          <w:b/>
          <w:sz w:val="28"/>
          <w:szCs w:val="28"/>
          <w:lang w:val="kk-KZ" w:eastAsia="en-US"/>
        </w:rPr>
        <w:t>зерттеулерде қолдану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EB6D8A" w:rsidRDefault="00EB6D8A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мәні мен мазмұны</w:t>
      </w:r>
    </w:p>
    <w:p w:rsidR="00EB6D8A" w:rsidRDefault="00EB6D8A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</w:t>
      </w:r>
      <w:r>
        <w:rPr>
          <w:rFonts w:ascii="Times New Roman" w:hAnsi="Times New Roman"/>
          <w:sz w:val="28"/>
          <w:szCs w:val="28"/>
          <w:lang w:val="kk-KZ"/>
        </w:rPr>
        <w:t xml:space="preserve"> басқа методологиялық бағыттардан ерекшеліктері</w:t>
      </w:r>
    </w:p>
    <w:p w:rsidR="00482F4D" w:rsidRP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Позитивизмді тарихнама мен деректанулық зерттеулерде қолданылу тәсілдері мен ерекшеліктерін және маңызын сипаттау (нақты бір тақырып, мәселе бойынша)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 xml:space="preserve">Сс 10. Функционализмнің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деректанудағы орны.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</w:t>
      </w:r>
      <w:r w:rsidR="00EB6D8A">
        <w:rPr>
          <w:rFonts w:ascii="Times New Roman" w:hAnsi="Times New Roman"/>
          <w:sz w:val="28"/>
          <w:szCs w:val="28"/>
          <w:lang w:val="kk-KZ"/>
        </w:rPr>
        <w:t>ді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методологиялық бағыт ретінде айқындау</w:t>
      </w:r>
    </w:p>
    <w:p w:rsid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482F4D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</w:t>
      </w:r>
      <w:r w:rsidR="009A1E50">
        <w:rPr>
          <w:rFonts w:ascii="Times New Roman" w:hAnsi="Times New Roman"/>
          <w:sz w:val="28"/>
          <w:szCs w:val="28"/>
          <w:lang w:val="kk-KZ"/>
        </w:rPr>
        <w:t>ализмнің тарихнама</w:t>
      </w:r>
      <w:r w:rsidRPr="00113F5A">
        <w:rPr>
          <w:rFonts w:ascii="Times New Roman" w:hAnsi="Times New Roman"/>
          <w:sz w:val="28"/>
          <w:szCs w:val="28"/>
          <w:lang w:val="kk-KZ"/>
        </w:rPr>
        <w:t>дағы орны  мен маңызын нақты мысалдар негізінде көрсете отырып баяндау</w:t>
      </w:r>
    </w:p>
    <w:p w:rsidR="009A1E50" w:rsidRPr="00113F5A" w:rsidRDefault="009A1E50" w:rsidP="009A1E5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Функционализмнің деректанудағы орны  мен маңызын нақты мысалдар негізінде көрсете отырып баяндау</w:t>
      </w:r>
    </w:p>
    <w:p w:rsidR="009A1E50" w:rsidRPr="00113F5A" w:rsidRDefault="009A1E50" w:rsidP="009A1E5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>Сс 11: Т</w:t>
      </w:r>
      <w:r w:rsidRPr="00AA2975">
        <w:rPr>
          <w:rFonts w:eastAsia="Calibri"/>
          <w:b/>
          <w:sz w:val="28"/>
          <w:szCs w:val="28"/>
          <w:lang w:val="kk-KZ"/>
        </w:rPr>
        <w:t xml:space="preserve">арихнама мен деректануда этнометодологияны пайдалану мәселелері 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482F4D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тарихнамалық зерттеулерде пайдалану жолдарын айқындау және сол негізде мысалдар келтіру</w:t>
      </w:r>
    </w:p>
    <w:p w:rsidR="009A1E50" w:rsidRPr="001254DC" w:rsidRDefault="009A1E50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деректанулық зерттеулерде пайдалану жолдарын айқындау және сол негізде мысалдар келтіру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12: Феноменология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тарихнама: өзара байланысы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Э. Гуссерь және оның еңбектеріне талдау жасау</w:t>
      </w:r>
      <w:r w:rsidR="009A1E50">
        <w:rPr>
          <w:rFonts w:ascii="Times New Roman" w:hAnsi="Times New Roman"/>
          <w:sz w:val="28"/>
          <w:szCs w:val="28"/>
          <w:lang w:val="kk-KZ"/>
        </w:rPr>
        <w:t xml:space="preserve"> (бөлісіп алып тарихнамалық талдау жасау)</w:t>
      </w:r>
    </w:p>
    <w:p w:rsidR="00482F4D" w:rsidRPr="001254DC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Феноменология</w:t>
      </w:r>
      <w:r w:rsidR="00482F4D" w:rsidRPr="001254DC">
        <w:rPr>
          <w:rFonts w:ascii="Times New Roman" w:hAnsi="Times New Roman"/>
          <w:sz w:val="28"/>
          <w:szCs w:val="28"/>
          <w:lang w:val="kk-KZ"/>
        </w:rPr>
        <w:t>ның негізгі мәні, қалыптасуы, қазіргі жағдайы</w:t>
      </w:r>
    </w:p>
    <w:p w:rsidR="00113F5A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Ф</w:t>
      </w:r>
      <w:r w:rsidR="00482F4D" w:rsidRPr="001254DC">
        <w:rPr>
          <w:rFonts w:ascii="Times New Roman" w:hAnsi="Times New Roman"/>
          <w:sz w:val="28"/>
          <w:szCs w:val="28"/>
          <w:lang w:val="kk-KZ"/>
        </w:rPr>
        <w:t>еноменологияны ғылыми зерттеулерде пайдалану жолдарын айқындау</w:t>
      </w:r>
    </w:p>
    <w:p w:rsidR="00482F4D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Pr="001254DC">
        <w:rPr>
          <w:rFonts w:ascii="Times New Roman" w:hAnsi="Times New Roman"/>
          <w:sz w:val="28"/>
          <w:szCs w:val="28"/>
          <w:lang w:val="kk-KZ"/>
        </w:rPr>
        <w:t>еноменологияны тарихнамалық зерттеулерде пайдалану жол</w:t>
      </w:r>
      <w:r>
        <w:rPr>
          <w:rFonts w:ascii="Times New Roman" w:hAnsi="Times New Roman"/>
          <w:sz w:val="28"/>
          <w:szCs w:val="28"/>
          <w:lang w:val="kk-KZ"/>
        </w:rPr>
        <w:t>дары</w:t>
      </w:r>
      <w:r w:rsidR="00482F4D" w:rsidRPr="00113F5A">
        <w:rPr>
          <w:rFonts w:ascii="Times New Roman" w:hAnsi="Times New Roman"/>
          <w:sz w:val="28"/>
          <w:szCs w:val="28"/>
          <w:lang w:val="kk-KZ"/>
        </w:rPr>
        <w:t>н белгілі бір тақырыптағы еңбектерге талдау жасау арқылы дәлелдеу</w:t>
      </w:r>
    </w:p>
    <w:p w:rsidR="00482F4D" w:rsidRPr="008A646E" w:rsidRDefault="009A1E50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8A646E">
        <w:rPr>
          <w:rFonts w:ascii="Times New Roman" w:hAnsi="Times New Roman"/>
          <w:sz w:val="28"/>
          <w:szCs w:val="28"/>
          <w:lang w:val="kk-KZ"/>
        </w:rPr>
        <w:t xml:space="preserve">Феноменологияны </w:t>
      </w:r>
      <w:r w:rsidR="008A646E" w:rsidRPr="008A646E">
        <w:rPr>
          <w:rFonts w:ascii="Times New Roman" w:hAnsi="Times New Roman"/>
          <w:sz w:val="28"/>
          <w:szCs w:val="28"/>
          <w:lang w:val="kk-KZ"/>
        </w:rPr>
        <w:t xml:space="preserve">диссертацияның </w:t>
      </w:r>
      <w:r w:rsidRPr="008A646E">
        <w:rPr>
          <w:rFonts w:ascii="Times New Roman" w:hAnsi="Times New Roman"/>
          <w:sz w:val="28"/>
          <w:szCs w:val="28"/>
          <w:lang w:val="kk-KZ"/>
        </w:rPr>
        <w:t>тарихнамалық</w:t>
      </w:r>
      <w:r w:rsidR="008A646E" w:rsidRPr="008A646E">
        <w:rPr>
          <w:rFonts w:ascii="Times New Roman" w:hAnsi="Times New Roman"/>
          <w:sz w:val="28"/>
          <w:szCs w:val="28"/>
          <w:lang w:val="kk-KZ"/>
        </w:rPr>
        <w:t xml:space="preserve"> мәселелерін </w:t>
      </w:r>
      <w:r w:rsidRPr="008A646E">
        <w:rPr>
          <w:rFonts w:ascii="Times New Roman" w:hAnsi="Times New Roman"/>
          <w:sz w:val="28"/>
          <w:szCs w:val="28"/>
          <w:lang w:val="kk-KZ"/>
        </w:rPr>
        <w:t xml:space="preserve"> зерттеулерде пайдалану жолдарын </w:t>
      </w:r>
      <w:r w:rsidR="008A646E">
        <w:rPr>
          <w:rFonts w:ascii="Times New Roman" w:hAnsi="Times New Roman"/>
          <w:sz w:val="28"/>
          <w:szCs w:val="28"/>
          <w:lang w:val="kk-KZ"/>
        </w:rPr>
        <w:t>айқындау</w:t>
      </w: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 13. Феноменология және деректану.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Феноменологияны дер</w:t>
      </w:r>
      <w:r w:rsidR="008A646E">
        <w:rPr>
          <w:rFonts w:ascii="Times New Roman" w:hAnsi="Times New Roman"/>
          <w:sz w:val="28"/>
          <w:szCs w:val="28"/>
          <w:lang w:val="kk-KZ" w:eastAsia="ar-SA"/>
        </w:rPr>
        <w:t>ектанулық зерттеулерде пайдалану</w:t>
      </w: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 тәсілдерін айқындау</w:t>
      </w:r>
    </w:p>
    <w:p w:rsidR="00482F4D" w:rsidRP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Феноменологияны әр магистранттың өзінің зерттеу тақырыбы бойынша нақты тарихи дерекке талдау жасау барысында пайдалану жолдарын баяндау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14:Методологиялық плюрализм ғылыми зерттеулерде</w:t>
      </w:r>
    </w:p>
    <w:p w:rsidR="00482F4D" w:rsidRPr="001254DC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482F4D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негізінде тарихнама мен деректанулық зерттеулер жүргізу жолдарын өзінің диссертациялық мәселесі бойынша сипаттау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107D" w:rsidRPr="00B2107D" w:rsidRDefault="00B2107D" w:rsidP="00B2107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B2107D">
        <w:rPr>
          <w:b/>
          <w:sz w:val="28"/>
          <w:szCs w:val="28"/>
          <w:lang w:val="kk-KZ"/>
        </w:rPr>
        <w:t>Әдебиеттер тізімі</w:t>
      </w:r>
    </w:p>
    <w:p w:rsidR="00482F4D" w:rsidRPr="00B2107D" w:rsidRDefault="00482F4D" w:rsidP="00482F4D">
      <w:pPr>
        <w:rPr>
          <w:b/>
          <w:sz w:val="28"/>
          <w:szCs w:val="28"/>
          <w:lang w:val="kk-KZ"/>
        </w:rPr>
      </w:pPr>
    </w:p>
    <w:p w:rsidR="00B2107D" w:rsidRPr="00B2107D" w:rsidRDefault="00B2107D" w:rsidP="00B2107D">
      <w:pPr>
        <w:jc w:val="center"/>
        <w:rPr>
          <w:b/>
          <w:bCs/>
          <w:lang w:val="kk-KZ"/>
        </w:rPr>
      </w:pPr>
      <w:r w:rsidRPr="00B2107D">
        <w:rPr>
          <w:b/>
          <w:bCs/>
          <w:lang w:val="kk-KZ"/>
        </w:rPr>
        <w:t>Негізгі</w:t>
      </w:r>
    </w:p>
    <w:p w:rsidR="00B2107D" w:rsidRPr="002C0F3C" w:rsidRDefault="00B2107D" w:rsidP="00B2107D">
      <w:pPr>
        <w:jc w:val="both"/>
        <w:rPr>
          <w:bCs/>
          <w:lang w:val="kk-KZ"/>
        </w:rPr>
      </w:pPr>
      <w:r w:rsidRPr="002C0F3C">
        <w:rPr>
          <w:bCs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</w:rPr>
        <w:t>Коломийцев В. Ф. Методология истории (От источника к исследованию). М., 2001. — 191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Джордж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Ритцер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, Джеффри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Степницки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Әлеуметтану теориясы. А., 2017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proofErr w:type="spellStart"/>
      <w:r w:rsidRPr="002C0F3C">
        <w:t>Медушевская</w:t>
      </w:r>
      <w:proofErr w:type="spellEnd"/>
      <w:r w:rsidRPr="002C0F3C">
        <w:t xml:space="preserve"> О. М. Теория и методология когнитивной истории /О. М. </w:t>
      </w:r>
      <w:proofErr w:type="spellStart"/>
      <w:r w:rsidRPr="002C0F3C">
        <w:t>Медушевская</w:t>
      </w:r>
      <w:proofErr w:type="spellEnd"/>
      <w:r w:rsidRPr="002C0F3C">
        <w:t>. — М., 2008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Дьяков В.А. Методология истории в прошлом и настоящем. М., 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Иванов В.В. Соотношение истории и современности как методологическая проблема. М., 2003.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F3C">
        <w:rPr>
          <w:rFonts w:ascii="Times New Roman" w:hAnsi="Times New Roman"/>
          <w:sz w:val="24"/>
          <w:szCs w:val="24"/>
        </w:rPr>
        <w:t>Хаттон</w:t>
      </w:r>
      <w:proofErr w:type="spellEnd"/>
      <w:r w:rsidRPr="002C0F3C">
        <w:rPr>
          <w:rFonts w:ascii="Times New Roman" w:hAnsi="Times New Roman"/>
          <w:sz w:val="24"/>
          <w:szCs w:val="24"/>
        </w:rPr>
        <w:t xml:space="preserve"> П. История как искусство памяти. </w:t>
      </w:r>
      <w:proofErr w:type="gramStart"/>
      <w:r w:rsidRPr="002C0F3C">
        <w:rPr>
          <w:rFonts w:ascii="Times New Roman" w:hAnsi="Times New Roman"/>
          <w:sz w:val="24"/>
          <w:szCs w:val="24"/>
        </w:rPr>
        <w:t>СПб.,</w:t>
      </w:r>
      <w:proofErr w:type="gramEnd"/>
      <w:r w:rsidRPr="002C0F3C">
        <w:rPr>
          <w:rFonts w:ascii="Times New Roman" w:hAnsi="Times New Roman"/>
          <w:sz w:val="24"/>
          <w:szCs w:val="24"/>
        </w:rPr>
        <w:t xml:space="preserve"> 2003.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 xml:space="preserve">Лаптева М. П. Теория и методология истории: курс лекций / М. П. Лаптева; </w:t>
      </w:r>
      <w:proofErr w:type="spellStart"/>
      <w:r w:rsidRPr="002C0F3C">
        <w:t>Перм</w:t>
      </w:r>
      <w:proofErr w:type="spellEnd"/>
      <w:r w:rsidRPr="002C0F3C">
        <w:t>. гос. ун-т. — Пермь, 2006. — 254 с.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>Смоленский Н. И. Теория и методология истории. М., 2008. — 272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lastRenderedPageBreak/>
        <w:t>Төлебаев Т.Ә. Қазақстан тарихы мен тарихнамасының өзекті мәселелері. Алматы, Қазақ университеті, 2016.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Ювал Ноаһ Харари. </w:t>
      </w:r>
      <w:r w:rsidRPr="006E6360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Sapiens.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Адамзаттың қысқаша тарихы. Алматы, 2018.-368 б.</w:t>
      </w:r>
    </w:p>
    <w:p w:rsidR="00B2107D" w:rsidRPr="00B2107D" w:rsidRDefault="00B2107D" w:rsidP="00B2107D">
      <w:pPr>
        <w:ind w:right="147"/>
        <w:jc w:val="center"/>
        <w:rPr>
          <w:b/>
          <w:lang w:val="kk-KZ"/>
        </w:rPr>
      </w:pPr>
      <w:r w:rsidRPr="00B2107D">
        <w:rPr>
          <w:b/>
          <w:lang w:val="kk-KZ"/>
        </w:rPr>
        <w:t>Қосымша</w:t>
      </w:r>
    </w:p>
    <w:p w:rsidR="00B2107D" w:rsidRPr="002C0F3C" w:rsidRDefault="00B2107D" w:rsidP="00B2107D">
      <w:pPr>
        <w:jc w:val="both"/>
        <w:rPr>
          <w:lang w:val="kk-KZ"/>
        </w:rPr>
      </w:pP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Антология феноменологической философии в России, т.</w:t>
      </w:r>
      <w:r w:rsidRPr="002C0F3C">
        <w:rPr>
          <w:rFonts w:ascii="Times New Roman" w:hAnsi="Times New Roman"/>
          <w:sz w:val="24"/>
          <w:szCs w:val="24"/>
          <w:lang w:val="en-US"/>
        </w:rPr>
        <w:t>I</w:t>
      </w:r>
      <w:r w:rsidRPr="002C0F3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2C0F3C">
        <w:rPr>
          <w:rFonts w:ascii="Times New Roman" w:hAnsi="Times New Roman"/>
          <w:sz w:val="24"/>
          <w:szCs w:val="24"/>
          <w:lang w:val="en-US"/>
        </w:rPr>
        <w:t>II</w:t>
      </w:r>
      <w:r w:rsidRPr="002C0F3C">
        <w:rPr>
          <w:rFonts w:ascii="Times New Roman" w:hAnsi="Times New Roman"/>
          <w:sz w:val="24"/>
          <w:szCs w:val="24"/>
        </w:rPr>
        <w:t>, М., 2000.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C0F3C">
        <w:rPr>
          <w:rFonts w:ascii="Times New Roman" w:hAnsi="Times New Roman"/>
          <w:sz w:val="24"/>
          <w:szCs w:val="24"/>
          <w:lang w:val="en-US"/>
        </w:rPr>
        <w:t>Spiegelberg</w:t>
      </w:r>
      <w:proofErr w:type="spellEnd"/>
      <w:r w:rsidRPr="002C0F3C">
        <w:rPr>
          <w:rFonts w:ascii="Times New Roman" w:hAnsi="Times New Roman"/>
          <w:sz w:val="24"/>
          <w:szCs w:val="24"/>
          <w:lang w:val="en-US"/>
        </w:rPr>
        <w:t xml:space="preserve"> H. The Phenomenological Movement. A historical Introduction. V. 1-2. The Hague</w:t>
      </w:r>
      <w:r w:rsidRPr="002C0F3C">
        <w:rPr>
          <w:rFonts w:ascii="Times New Roman" w:hAnsi="Times New Roman"/>
          <w:sz w:val="24"/>
          <w:szCs w:val="24"/>
          <w:lang w:val="kk-KZ"/>
        </w:rPr>
        <w:t>, 1969.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C0F3C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B2107D" w:rsidRPr="002C0F3C" w:rsidRDefault="00B2107D" w:rsidP="00B2107D">
      <w:pPr>
        <w:numPr>
          <w:ilvl w:val="0"/>
          <w:numId w:val="15"/>
        </w:numPr>
      </w:pPr>
      <w:r w:rsidRPr="002C0F3C">
        <w:t>Королев А. А. Теория и методология современных исторических исследований. Библиограф. сб. М., 1995.</w:t>
      </w:r>
    </w:p>
    <w:p w:rsidR="00B2107D" w:rsidRPr="002C0F3C" w:rsidRDefault="00A86E11" w:rsidP="00B2107D">
      <w:pPr>
        <w:pStyle w:val="a3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="00B2107D" w:rsidRPr="002C0F3C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B2107D" w:rsidRPr="002C0F3C" w:rsidRDefault="00B2107D" w:rsidP="00B2107D">
      <w:pPr>
        <w:jc w:val="both"/>
        <w:rPr>
          <w:lang w:val="kk-KZ"/>
        </w:rPr>
      </w:pPr>
      <w:r w:rsidRPr="002C0F3C">
        <w:rPr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B2107D" w:rsidRPr="002C0F3C" w:rsidRDefault="00B2107D" w:rsidP="00B2107D">
      <w:pPr>
        <w:ind w:left="360" w:right="147"/>
        <w:rPr>
          <w:lang w:val="kk-KZ"/>
        </w:rPr>
      </w:pPr>
      <w:r w:rsidRPr="002C0F3C">
        <w:rPr>
          <w:lang w:val="kk-KZ"/>
        </w:rPr>
        <w:t>12.  Гуссерль Э. Картезианские мышления. – СПб., 2001.287-290бб.</w:t>
      </w:r>
    </w:p>
    <w:p w:rsidR="00B2107D" w:rsidRPr="002C0F3C" w:rsidRDefault="00B2107D" w:rsidP="00B2107D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2C0F3C">
        <w:rPr>
          <w:lang w:val="kk-KZ"/>
        </w:rPr>
        <w:t>13.</w:t>
      </w:r>
      <w:r w:rsidRPr="002C0F3C">
        <w:rPr>
          <w:color w:val="000000"/>
          <w:shd w:val="clear" w:color="auto" w:fill="F2F6F8"/>
        </w:rPr>
        <w:t xml:space="preserve"> Репина Л.П., Зверева В.В., Парамонова М.Ю.</w:t>
      </w:r>
      <w:r w:rsidRPr="002C0F3C">
        <w:rPr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Михаил Маркович Кром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Тарихи антропология.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482F4D" w:rsidRPr="00482F4D" w:rsidRDefault="00482F4D" w:rsidP="00482F4D">
      <w:pPr>
        <w:rPr>
          <w:lang w:val="kk-KZ"/>
        </w:rPr>
      </w:pPr>
    </w:p>
    <w:p w:rsidR="00024ADE" w:rsidRPr="00482F4D" w:rsidRDefault="00024ADE">
      <w:pPr>
        <w:rPr>
          <w:lang w:val="kk-KZ"/>
        </w:rPr>
      </w:pPr>
    </w:p>
    <w:p w:rsidR="00B84CFC" w:rsidRPr="00482F4D" w:rsidRDefault="00B84CFC">
      <w:pPr>
        <w:rPr>
          <w:lang w:val="kk-KZ"/>
        </w:rPr>
      </w:pPr>
    </w:p>
    <w:sectPr w:rsidR="00B84CFC" w:rsidRPr="0048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C31E7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D2"/>
    <w:rsid w:val="00024ADE"/>
    <w:rsid w:val="000C2EEC"/>
    <w:rsid w:val="00113F5A"/>
    <w:rsid w:val="001F08E6"/>
    <w:rsid w:val="003B72D7"/>
    <w:rsid w:val="00482F4D"/>
    <w:rsid w:val="00720875"/>
    <w:rsid w:val="008A646E"/>
    <w:rsid w:val="008C05D2"/>
    <w:rsid w:val="009A1E50"/>
    <w:rsid w:val="00A86E11"/>
    <w:rsid w:val="00AA2975"/>
    <w:rsid w:val="00B2107D"/>
    <w:rsid w:val="00B84CFC"/>
    <w:rsid w:val="00C35033"/>
    <w:rsid w:val="00E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CA75-85BA-42F1-B12D-DC97786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2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B2107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210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13</cp:revision>
  <dcterms:created xsi:type="dcterms:W3CDTF">2021-12-04T15:34:00Z</dcterms:created>
  <dcterms:modified xsi:type="dcterms:W3CDTF">2024-10-03T07:08:00Z</dcterms:modified>
</cp:coreProperties>
</file>